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E1" w:rsidRDefault="003877A0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 xml:space="preserve">                    </w:t>
      </w: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</w:pPr>
      <w:r w:rsidRPr="00D424E1"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  <w:t xml:space="preserve">Календарный учебный </w:t>
      </w:r>
      <w:r w:rsidRPr="00290942"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  <w:t xml:space="preserve"> график</w:t>
      </w: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D424E1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МБДОУ «Д/с №17 «Буратино»</w:t>
      </w:r>
    </w:p>
    <w:p w:rsidR="00D424E1" w:rsidRP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 xml:space="preserve">на 2017-2018 учебный год </w:t>
      </w:r>
    </w:p>
    <w:p w:rsidR="00D424E1" w:rsidRP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</w:p>
    <w:p w:rsidR="00D424E1" w:rsidRP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D424E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D424E1" w:rsidRDefault="00D424E1" w:rsidP="003877A0">
      <w:pPr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290942" w:rsidRPr="00290942" w:rsidRDefault="003877A0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="00290942"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2017 – 2018 учебном году муниципального бюджетного дошкольного образовательного учреждения «Детский сад № </w:t>
      </w:r>
      <w:r w:rsidR="003877A0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17 «Буратино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»  </w:t>
      </w:r>
      <w:proofErr w:type="gramStart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г</w:t>
      </w:r>
      <w:proofErr w:type="gramEnd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. </w:t>
      </w:r>
      <w:r w:rsidR="003877A0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Каспийск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Календарный учебный график разработан в соответствии </w:t>
      </w:r>
      <w:proofErr w:type="gramStart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</w:t>
      </w:r>
      <w:proofErr w:type="gramEnd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:</w:t>
      </w:r>
    </w:p>
    <w:p w:rsidR="00290942" w:rsidRPr="00290942" w:rsidRDefault="00290942" w:rsidP="003877A0">
      <w:pPr>
        <w:numPr>
          <w:ilvl w:val="0"/>
          <w:numId w:val="1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Законом Российской Федерации «Об образовании» от 29.12.2012г. № 273-ФЗ;</w:t>
      </w:r>
    </w:p>
    <w:p w:rsidR="00290942" w:rsidRPr="00290942" w:rsidRDefault="00290942" w:rsidP="003877A0">
      <w:pPr>
        <w:numPr>
          <w:ilvl w:val="0"/>
          <w:numId w:val="1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России) от 17 октября 2013 г. № 1155 г</w:t>
      </w:r>
      <w:proofErr w:type="gramStart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.М</w:t>
      </w:r>
      <w:proofErr w:type="gramEnd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осква «Об утверждении федерального государственного образовательного стандарта дошкольного образования».</w:t>
      </w:r>
    </w:p>
    <w:p w:rsidR="00290942" w:rsidRPr="00290942" w:rsidRDefault="00290942" w:rsidP="003877A0">
      <w:pPr>
        <w:numPr>
          <w:ilvl w:val="0"/>
          <w:numId w:val="1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Приказ </w:t>
      </w:r>
      <w:proofErr w:type="spellStart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290942" w:rsidRPr="00290942" w:rsidRDefault="00290942" w:rsidP="003877A0">
      <w:pPr>
        <w:numPr>
          <w:ilvl w:val="0"/>
          <w:numId w:val="1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СанПиН</w:t>
      </w:r>
      <w:proofErr w:type="spellEnd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2.4.1.3049-13 утвержденным постановлением главного санитарного врача РФ от 15. 2013 г. № 26;</w:t>
      </w:r>
    </w:p>
    <w:p w:rsidR="00290942" w:rsidRPr="00290942" w:rsidRDefault="00290942" w:rsidP="003877A0">
      <w:pPr>
        <w:spacing w:after="0" w:line="240" w:lineRule="auto"/>
        <w:ind w:left="-21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Содержание календарного учебного графика включает в себя следующие сведения: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режим работы учреждения;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продолжительность учебного года;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количество недель в учебном году;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массовые мероприятия учреждения;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перечень проводимых праздников для воспитанников;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праздничные дни;</w:t>
      </w:r>
    </w:p>
    <w:p w:rsidR="00290942" w:rsidRPr="00290942" w:rsidRDefault="00290942" w:rsidP="003877A0">
      <w:pPr>
        <w:numPr>
          <w:ilvl w:val="0"/>
          <w:numId w:val="2"/>
        </w:numPr>
        <w:spacing w:after="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работа учреждения в летний период.</w:t>
      </w:r>
    </w:p>
    <w:p w:rsidR="00290942" w:rsidRDefault="00290942" w:rsidP="003F1D1D">
      <w:pPr>
        <w:spacing w:before="150" w:after="150" w:line="240" w:lineRule="auto"/>
        <w:ind w:left="150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3F1D1D" w:rsidRPr="00290942" w:rsidRDefault="003F1D1D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Режим работы учреждения — 12 часов (с 7.00 – 19.00).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Рабочая неделя — 5 дней, суббота и воскресение — выходные дни.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04.08.2016 г. № 756 в календарном учебном графике учтены нерабочие (выходные и праздничные) дни.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Продолжительность учебного года составляет 38 недель (1 и 2 полугодия) без учета каникулярного времени.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Непосредственно образовательная деятельность проводиться согласно «Плану непосредственно образовательной деятельности на 2016-2017 учебный год», утвержденным заведующим учреждением и «Расписанию непосредственно образовательной деятельности на 2016-2017 учебный год»,  утвержденным </w:t>
      </w:r>
      <w:proofErr w:type="gramStart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заведующей учреждения</w:t>
      </w:r>
      <w:proofErr w:type="gramEnd"/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Праздники для воспитанников в течение учебного года планируются в соответствии с «Календарным графиком мероприятий учреждения на 2018-2018 учебный год» (приложение к Годовому плану работы учреждения).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Календарный учебный график обсуждается и принимается Педагогическим советом и утверждается приказом заведующего  учреждением до начала учебного года.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Все изменения, вносимые в календарный учебный график, утверждаются приказом заведующего учреждением по согласованию с учредителем и доводятся до всех участников образовательного процесса.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ОРГАНИЗАЦИЯ ОБРАЗОВАТЕЛЬНОГО ПРОЦЕССА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</w:p>
    <w:tbl>
      <w:tblPr>
        <w:tblW w:w="9480" w:type="dxa"/>
        <w:tblCellSpacing w:w="15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shd w:val="clear" w:color="auto" w:fill="B0EDFF"/>
        <w:tblCellMar>
          <w:left w:w="0" w:type="dxa"/>
          <w:right w:w="0" w:type="dxa"/>
        </w:tblCellMar>
        <w:tblLook w:val="04A0"/>
      </w:tblPr>
      <w:tblGrid>
        <w:gridCol w:w="3085"/>
        <w:gridCol w:w="420"/>
        <w:gridCol w:w="1045"/>
        <w:gridCol w:w="1166"/>
        <w:gridCol w:w="390"/>
        <w:gridCol w:w="779"/>
        <w:gridCol w:w="2595"/>
      </w:tblGrid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1. Режим работы учреждения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4505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4885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5 дней (с понедельника по пятницу)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4505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4885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12 часов в день (с 7.00 до 19.00 часов)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4505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Нерабочие дни</w:t>
            </w:r>
          </w:p>
        </w:tc>
        <w:tc>
          <w:tcPr>
            <w:tcW w:w="4885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Суббота, воскресенье и праздничные дни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2. Продолжительность учебного года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с 01.09.2017г. по 31.05.2017г.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38  недель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I полугодие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с 01.09.2017г. по 29.12.2017г.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17 недель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II полугодие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с 09.01.2018г. по 31.05.2018г.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21 неделя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040" w:type="dxa"/>
            <w:vMerge w:val="restart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Недельная образовательная нагрузка основных видов НОД /Объем недельной образовательной нагрузки НОД в минутах</w:t>
            </w:r>
          </w:p>
        </w:tc>
        <w:tc>
          <w:tcPr>
            <w:tcW w:w="390" w:type="dxa"/>
            <w:vMerge w:val="restart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0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Разновозрастная младшая группа</w:t>
            </w:r>
          </w:p>
          <w:p w:rsidR="00290942" w:rsidRPr="00290942" w:rsidRDefault="00290942" w:rsidP="003877A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3F1D1D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 xml:space="preserve">Вторая </w:t>
            </w:r>
            <w:r w:rsidR="00290942"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группа раннего возраста</w:t>
            </w:r>
          </w:p>
          <w:p w:rsidR="00290942" w:rsidRPr="00290942" w:rsidRDefault="00290942" w:rsidP="003877A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(2-3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D424E1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 xml:space="preserve">          Младшая </w:t>
            </w:r>
            <w:r w:rsidR="00290942"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группа</w:t>
            </w:r>
          </w:p>
          <w:p w:rsidR="00290942" w:rsidRPr="00290942" w:rsidRDefault="00290942" w:rsidP="003877A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(3-4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Средняя подгруппа  (4-5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Старшая подгруппа (5-6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shd w:val="clear" w:color="auto" w:fill="auto"/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Подготовительная к школе подгруппа (6-7 лет)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3.1. Мониторинг достижения детьми планируемых результатов освоения</w:t>
            </w:r>
          </w:p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основной общеобразовательной программы дошкольного образования: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Первичный мониторинг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01.09.2017г. — 14.09.2017г.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10 дней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03.05.2017г. — 17.05.2017г.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10 дней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3.2. Праздники для воспитанников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Сроки/ даты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01.09.2017г.</w:t>
            </w:r>
          </w:p>
        </w:tc>
      </w:tr>
      <w:tr w:rsidR="003F1D1D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D1D" w:rsidRPr="00290942" w:rsidRDefault="003F1D1D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единства народов Дагестана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D1D" w:rsidRPr="00290942" w:rsidRDefault="003F1D1D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15.09.2017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Осенний калейдоскоп (по возрастным группам)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F1D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 xml:space="preserve">24.10.2017г. по </w:t>
            </w:r>
            <w:r w:rsidR="003F1D1D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</w:t>
            </w: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.1</w:t>
            </w:r>
            <w:r w:rsidR="003F1D1D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</w:t>
            </w: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.2017г.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Новогодние утренники (по возрастным группам)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F1D1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 xml:space="preserve">25.12.2017г. по </w:t>
            </w:r>
            <w:r w:rsidR="003F1D1D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30</w:t>
            </w: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.12.2017г.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21.02.2018г. по 22.02.2018г.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06.03.2018г. по 07.03.2018г.</w:t>
            </w:r>
          </w:p>
        </w:tc>
      </w:tr>
      <w:tr w:rsidR="003F1D1D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D1D" w:rsidRPr="00290942" w:rsidRDefault="003F1D1D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Навруз</w:t>
            </w:r>
            <w:proofErr w:type="spellEnd"/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D1D" w:rsidRPr="00290942" w:rsidRDefault="00D424E1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20.03.2017г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07.05.2018г. по 08.05.2018г.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01.06.2018г.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5671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3719" w:type="dxa"/>
            <w:gridSpan w:val="3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08.06.2017г.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4. Каникулярное время, праздничные (нерабочие) дни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4.1. Каникулы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B5510F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Сроки/ даты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B5510F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каникулярных недель/ праздничных дней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01.01.2018 г. – 08.01.2018 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8  дней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Летние каникулы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01.06.2018г. – 31.08.2018г.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13 недель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4.2. Праздничные дни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04.11.17г. по 06.11.17г.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3 дня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Новогодние праздники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01.01.2018г. по 08.01.2018г.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8 дней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23.02.2018г.- 25.02.2018г.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3 дня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08.03.2018г. — 11.03.2018г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4 дня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29.04.2018г. — 02.05.2018г.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4 дня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09.05.2018г.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 день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3460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3350" w:type="dxa"/>
            <w:gridSpan w:val="4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10.06.2018г — 12.06.2018г.</w:t>
            </w:r>
          </w:p>
        </w:tc>
        <w:tc>
          <w:tcPr>
            <w:tcW w:w="2550" w:type="dxa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3 дня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6061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329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Сроки/ даты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6061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Музыкально-спортивный праздник «Международный День защиты детей»</w:t>
            </w:r>
          </w:p>
        </w:tc>
        <w:tc>
          <w:tcPr>
            <w:tcW w:w="3329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01.06.2018г.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6061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Музыкально-спортивное развлечение «Чистая вода, здоровье всегда!»</w:t>
            </w:r>
          </w:p>
        </w:tc>
        <w:tc>
          <w:tcPr>
            <w:tcW w:w="3329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27.07.2018г.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6061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Выставка детского творчества «Самый красивый букет»</w:t>
            </w:r>
          </w:p>
        </w:tc>
        <w:tc>
          <w:tcPr>
            <w:tcW w:w="3329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290942" w:rsidRPr="00290942" w:rsidRDefault="00290942" w:rsidP="003877A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03.08.2018г.</w:t>
            </w:r>
          </w:p>
          <w:p w:rsidR="00290942" w:rsidRPr="00290942" w:rsidRDefault="00290942" w:rsidP="003877A0">
            <w:pPr>
              <w:spacing w:before="150" w:after="15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6061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Экскурсии в природу</w:t>
            </w:r>
          </w:p>
        </w:tc>
        <w:tc>
          <w:tcPr>
            <w:tcW w:w="3329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6061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Целевые прогулки</w:t>
            </w:r>
          </w:p>
        </w:tc>
        <w:tc>
          <w:tcPr>
            <w:tcW w:w="3329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290942" w:rsidRPr="00290942" w:rsidTr="003F1D1D">
        <w:trPr>
          <w:tblCellSpacing w:w="15" w:type="dxa"/>
        </w:trPr>
        <w:tc>
          <w:tcPr>
            <w:tcW w:w="6061" w:type="dxa"/>
            <w:gridSpan w:val="5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Мероприятия тематических дней</w:t>
            </w:r>
          </w:p>
        </w:tc>
        <w:tc>
          <w:tcPr>
            <w:tcW w:w="3329" w:type="dxa"/>
            <w:gridSpan w:val="2"/>
            <w:tcBorders>
              <w:bottom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0942" w:rsidRPr="00290942" w:rsidRDefault="00290942" w:rsidP="003877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</w:pPr>
            <w:r w:rsidRPr="00290942"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ru-RU"/>
              </w:rPr>
              <w:t>Июнь-август</w:t>
            </w:r>
          </w:p>
        </w:tc>
      </w:tr>
    </w:tbl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Сведения об учреждении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Наименование учреждения: 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муниципальное бюджетное дошкольное образовательное учр</w:t>
      </w:r>
      <w:r w:rsidR="00B5510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еждение  МБ ДОУ «Детский сад №17 «Буратино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».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Адрес: </w:t>
      </w:r>
      <w:r w:rsidR="00B5510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368300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, г</w:t>
      </w:r>
      <w:r w:rsidR="00D424E1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. </w:t>
      </w:r>
      <w:r w:rsidR="00B5510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Каспийск РД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, ул. </w:t>
      </w:r>
      <w:proofErr w:type="spellStart"/>
      <w:r w:rsidR="00B5510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Хизроева</w:t>
      </w:r>
      <w:proofErr w:type="spellEnd"/>
      <w:r w:rsidR="00B5510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31 «А»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Телефон:</w:t>
      </w:r>
      <w:r w:rsidR="00B5510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5-26-35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Учредитель: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  <w:r w:rsidR="00B5510F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Городской округ «город Каспийск»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Режим: 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12 часов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Количество групп 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– </w:t>
      </w:r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1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2, из них:</w:t>
      </w:r>
    </w:p>
    <w:p w:rsidR="000D2C2A" w:rsidRDefault="000D2C2A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вторые ранние (2-3лет)    - 3 группы;</w:t>
      </w:r>
    </w:p>
    <w:p w:rsidR="00290942" w:rsidRPr="00290942" w:rsidRDefault="000D2C2A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младшие (3-4 года)  - 2 группы;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</w:t>
      </w:r>
      <w:proofErr w:type="gramStart"/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Средние</w:t>
      </w:r>
      <w:proofErr w:type="gramEnd"/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_(4-5 лет)-  3группы</w:t>
      </w:r>
    </w:p>
    <w:p w:rsidR="000D2C2A" w:rsidRDefault="000D2C2A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Старшие (5-6лет)  -2 группы</w:t>
      </w:r>
    </w:p>
    <w:p w:rsidR="000D2C2A" w:rsidRDefault="000D2C2A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Подготовительные (6-7лет )- 2 группы</w:t>
      </w:r>
      <w:proofErr w:type="gramStart"/>
      <w:r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Списочный состав контингента детей в МБ ДОУ составляет </w:t>
      </w:r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416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детей.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Заведующий дошкольным образовательным учреждением </w:t>
      </w:r>
      <w:proofErr w:type="spellStart"/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Езибегова</w:t>
      </w:r>
      <w:proofErr w:type="spellEnd"/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Зарема</w:t>
      </w:r>
      <w:proofErr w:type="spellEnd"/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Абдурашидовна</w:t>
      </w:r>
      <w:proofErr w:type="spellEnd"/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МБ ДОУ </w:t>
      </w:r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«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Детский сад № </w:t>
      </w:r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17 «Буратино»</w:t>
      </w: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размещён в 2-х этажном здании, </w:t>
      </w:r>
      <w:r w:rsidR="000D2C2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построенном в 1978 году</w:t>
      </w:r>
    </w:p>
    <w:p w:rsidR="00290942" w:rsidRPr="00290942" w:rsidRDefault="00290942" w:rsidP="003877A0">
      <w:pPr>
        <w:spacing w:before="150" w:after="15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В детском саду имеется музыкальный зал, </w:t>
      </w:r>
      <w:r w:rsidR="00D424E1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спортивный зал, методический кабинет, медицинский кабинет</w:t>
      </w:r>
      <w:proofErr w:type="gramStart"/>
      <w:r w:rsidR="00D424E1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D424E1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 xml:space="preserve"> кабинет психолога и логопеда.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90942" w:rsidRPr="00290942" w:rsidRDefault="00290942" w:rsidP="003877A0">
      <w:pPr>
        <w:spacing w:after="0" w:line="240" w:lineRule="auto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29094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42E80" w:rsidRDefault="00842E80" w:rsidP="003877A0">
      <w:pPr>
        <w:rPr>
          <w:sz w:val="28"/>
          <w:szCs w:val="28"/>
        </w:rPr>
      </w:pPr>
    </w:p>
    <w:p w:rsidR="003877A0" w:rsidRDefault="003877A0" w:rsidP="003877A0">
      <w:pPr>
        <w:rPr>
          <w:sz w:val="28"/>
          <w:szCs w:val="28"/>
        </w:rPr>
      </w:pPr>
    </w:p>
    <w:p w:rsidR="003877A0" w:rsidRDefault="003877A0" w:rsidP="003877A0">
      <w:pPr>
        <w:rPr>
          <w:sz w:val="28"/>
          <w:szCs w:val="28"/>
        </w:rPr>
      </w:pPr>
    </w:p>
    <w:p w:rsidR="003877A0" w:rsidRDefault="003877A0" w:rsidP="003877A0">
      <w:pPr>
        <w:rPr>
          <w:sz w:val="28"/>
          <w:szCs w:val="28"/>
        </w:rPr>
      </w:pPr>
    </w:p>
    <w:p w:rsidR="003877A0" w:rsidRPr="00290942" w:rsidRDefault="003877A0" w:rsidP="003877A0">
      <w:pPr>
        <w:rPr>
          <w:sz w:val="28"/>
          <w:szCs w:val="28"/>
        </w:rPr>
      </w:pPr>
    </w:p>
    <w:sectPr w:rsidR="003877A0" w:rsidRPr="00290942" w:rsidSect="00290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76A8"/>
    <w:multiLevelType w:val="multilevel"/>
    <w:tmpl w:val="3C1E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47337"/>
    <w:multiLevelType w:val="multilevel"/>
    <w:tmpl w:val="A794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90942"/>
    <w:rsid w:val="000D2C2A"/>
    <w:rsid w:val="00290942"/>
    <w:rsid w:val="0031022C"/>
    <w:rsid w:val="003877A0"/>
    <w:rsid w:val="003F1D1D"/>
    <w:rsid w:val="00842E80"/>
    <w:rsid w:val="00B5510F"/>
    <w:rsid w:val="00D4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9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20E5-2BC9-4C52-B0F0-DC35A021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2017-11-02T08:40:00Z</dcterms:created>
  <dcterms:modified xsi:type="dcterms:W3CDTF">2017-11-02T10:22:00Z</dcterms:modified>
</cp:coreProperties>
</file>